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473A3" w14:textId="77777777" w:rsidR="009C151A" w:rsidRPr="006B7F26" w:rsidRDefault="009C151A" w:rsidP="009C151A">
      <w:pPr>
        <w:pBdr>
          <w:top w:val="single" w:sz="4" w:space="1" w:color="auto"/>
          <w:left w:val="single" w:sz="4" w:space="4" w:color="auto"/>
          <w:bottom w:val="single" w:sz="4" w:space="1" w:color="auto"/>
          <w:right w:val="single" w:sz="4" w:space="4" w:color="auto"/>
        </w:pBdr>
        <w:jc w:val="center"/>
        <w:rPr>
          <w:b/>
          <w:bCs/>
          <w:sz w:val="28"/>
          <w:szCs w:val="28"/>
        </w:rPr>
      </w:pPr>
      <w:r>
        <w:rPr>
          <w:b/>
          <w:bCs/>
          <w:sz w:val="28"/>
          <w:szCs w:val="28"/>
        </w:rPr>
        <w:t>CALISTRIP BIOX</w:t>
      </w:r>
    </w:p>
    <w:p w14:paraId="630514CC" w14:textId="77777777" w:rsidR="009C151A" w:rsidRPr="00DC1866" w:rsidRDefault="009C151A" w:rsidP="009C151A">
      <w:pPr>
        <w:pStyle w:val="Paragraphedeliste"/>
        <w:numPr>
          <w:ilvl w:val="0"/>
          <w:numId w:val="1"/>
        </w:numPr>
        <w:rPr>
          <w:b/>
          <w:bCs/>
          <w:sz w:val="28"/>
          <w:szCs w:val="28"/>
        </w:rPr>
      </w:pPr>
      <w:r w:rsidRPr="00DC1866">
        <w:rPr>
          <w:b/>
          <w:bCs/>
          <w:sz w:val="28"/>
          <w:szCs w:val="28"/>
        </w:rPr>
        <w:t>NOM DU MÉDICAMENT Vétérinaire</w:t>
      </w:r>
    </w:p>
    <w:p w14:paraId="54FBB51E" w14:textId="77777777" w:rsidR="009C151A" w:rsidRPr="005D620C" w:rsidRDefault="009C151A" w:rsidP="009C151A">
      <w:pPr>
        <w:pStyle w:val="Paragraphedeliste"/>
        <w:rPr>
          <w:b/>
          <w:bCs/>
          <w:sz w:val="28"/>
          <w:szCs w:val="28"/>
        </w:rPr>
      </w:pPr>
    </w:p>
    <w:p w14:paraId="57602606" w14:textId="77777777" w:rsidR="009C151A" w:rsidRPr="005D620C" w:rsidRDefault="009C151A" w:rsidP="009C151A">
      <w:pPr>
        <w:pStyle w:val="Paragraphedeliste"/>
        <w:rPr>
          <w:b/>
          <w:bCs/>
          <w:sz w:val="28"/>
          <w:szCs w:val="28"/>
        </w:rPr>
      </w:pPr>
      <w:r w:rsidRPr="005D620C">
        <w:rPr>
          <w:b/>
          <w:bCs/>
          <w:sz w:val="28"/>
          <w:szCs w:val="28"/>
        </w:rPr>
        <w:t>CALISTRIP BIOX</w:t>
      </w:r>
    </w:p>
    <w:p w14:paraId="1E9FA420" w14:textId="77777777" w:rsidR="009C151A" w:rsidRDefault="009C151A" w:rsidP="009C151A">
      <w:pPr>
        <w:ind w:firstLine="708"/>
        <w:rPr>
          <w:shd w:val="clear" w:color="auto" w:fill="FFFF00"/>
        </w:rPr>
      </w:pPr>
    </w:p>
    <w:p w14:paraId="6D682156" w14:textId="77777777" w:rsidR="009C151A" w:rsidRDefault="009C151A" w:rsidP="009C151A">
      <w:pPr>
        <w:rPr>
          <w:sz w:val="28"/>
          <w:szCs w:val="28"/>
        </w:rPr>
      </w:pPr>
      <w:r>
        <w:rPr>
          <w:b/>
          <w:bCs/>
          <w:sz w:val="28"/>
          <w:szCs w:val="28"/>
        </w:rPr>
        <w:t>2. COMPOSITION QUALITATIVE ET QUANTITATIVE</w:t>
      </w:r>
    </w:p>
    <w:p w14:paraId="4ED3C58B" w14:textId="77777777" w:rsidR="009C151A" w:rsidRDefault="009C151A" w:rsidP="009C151A">
      <w:pPr>
        <w:rPr>
          <w:sz w:val="28"/>
          <w:szCs w:val="28"/>
        </w:rPr>
      </w:pPr>
      <w:r>
        <w:rPr>
          <w:sz w:val="28"/>
          <w:szCs w:val="28"/>
        </w:rPr>
        <w:t xml:space="preserve">Chaque ruban de 50,74 g </w:t>
      </w:r>
      <w:proofErr w:type="gramStart"/>
      <w:r>
        <w:rPr>
          <w:sz w:val="28"/>
          <w:szCs w:val="28"/>
        </w:rPr>
        <w:t>contient:</w:t>
      </w:r>
      <w:proofErr w:type="gramEnd"/>
    </w:p>
    <w:p w14:paraId="2D4E5584" w14:textId="77777777" w:rsidR="009C151A" w:rsidRDefault="009C151A" w:rsidP="009C151A">
      <w:pPr>
        <w:rPr>
          <w:sz w:val="28"/>
          <w:szCs w:val="28"/>
        </w:rPr>
      </w:pPr>
      <w:r>
        <w:rPr>
          <w:b/>
          <w:bCs/>
          <w:sz w:val="28"/>
          <w:szCs w:val="28"/>
        </w:rPr>
        <w:t xml:space="preserve">Substance </w:t>
      </w:r>
      <w:proofErr w:type="gramStart"/>
      <w:r>
        <w:rPr>
          <w:b/>
          <w:bCs/>
          <w:sz w:val="28"/>
          <w:szCs w:val="28"/>
        </w:rPr>
        <w:t>active:</w:t>
      </w:r>
      <w:proofErr w:type="gramEnd"/>
    </w:p>
    <w:p w14:paraId="313371A3" w14:textId="77777777" w:rsidR="009C151A" w:rsidRDefault="009C151A" w:rsidP="009C151A">
      <w:pPr>
        <w:rPr>
          <w:sz w:val="28"/>
          <w:szCs w:val="28"/>
        </w:rPr>
      </w:pPr>
      <w:r>
        <w:rPr>
          <w:sz w:val="28"/>
          <w:szCs w:val="28"/>
        </w:rPr>
        <w:t xml:space="preserve">Acide oxalique </w:t>
      </w:r>
      <w:proofErr w:type="spellStart"/>
      <w:r>
        <w:rPr>
          <w:sz w:val="28"/>
          <w:szCs w:val="28"/>
        </w:rPr>
        <w:t>dihydraté</w:t>
      </w:r>
      <w:proofErr w:type="spellEnd"/>
      <w:r>
        <w:rPr>
          <w:sz w:val="28"/>
          <w:szCs w:val="28"/>
        </w:rPr>
        <w:t>………………6,44 g</w:t>
      </w:r>
    </w:p>
    <w:p w14:paraId="1D9B3509" w14:textId="77777777" w:rsidR="009C151A" w:rsidRDefault="009C151A" w:rsidP="009C151A">
      <w:pPr>
        <w:rPr>
          <w:sz w:val="28"/>
          <w:szCs w:val="28"/>
        </w:rPr>
      </w:pPr>
      <w:r>
        <w:rPr>
          <w:sz w:val="28"/>
          <w:szCs w:val="28"/>
        </w:rPr>
        <w:t>(Équivalant à 4,6 g d’acide oxalique)</w:t>
      </w:r>
    </w:p>
    <w:p w14:paraId="664E644C" w14:textId="77777777" w:rsidR="009C151A" w:rsidRDefault="009C151A" w:rsidP="009C151A">
      <w:pPr>
        <w:rPr>
          <w:sz w:val="28"/>
          <w:szCs w:val="28"/>
        </w:rPr>
      </w:pPr>
      <w:r>
        <w:rPr>
          <w:b/>
          <w:bCs/>
          <w:sz w:val="28"/>
          <w:szCs w:val="28"/>
        </w:rPr>
        <w:t>Excipients :</w:t>
      </w:r>
    </w:p>
    <w:tbl>
      <w:tblPr>
        <w:tblW w:w="4530" w:type="dxa"/>
        <w:tblLayout w:type="fixed"/>
        <w:tblCellMar>
          <w:left w:w="0" w:type="dxa"/>
          <w:right w:w="0" w:type="dxa"/>
        </w:tblCellMar>
        <w:tblLook w:val="04A0" w:firstRow="1" w:lastRow="0" w:firstColumn="1" w:lastColumn="0" w:noHBand="0" w:noVBand="1"/>
      </w:tblPr>
      <w:tblGrid>
        <w:gridCol w:w="4530"/>
      </w:tblGrid>
      <w:tr w:rsidR="009C151A" w14:paraId="5E011BED" w14:textId="77777777" w:rsidTr="00140109">
        <w:tc>
          <w:tcPr>
            <w:tcW w:w="4530" w:type="dxa"/>
            <w:vAlign w:val="center"/>
          </w:tcPr>
          <w:p w14:paraId="686AA321" w14:textId="77777777" w:rsidR="009C151A" w:rsidRDefault="009C151A" w:rsidP="00140109">
            <w:pPr>
              <w:widowControl w:val="0"/>
              <w:rPr>
                <w:sz w:val="28"/>
                <w:szCs w:val="28"/>
              </w:rPr>
            </w:pPr>
            <w:r>
              <w:rPr>
                <w:b/>
                <w:bCs/>
                <w:sz w:val="28"/>
                <w:szCs w:val="28"/>
              </w:rPr>
              <w:t>Composition qualitative en excipients et autres composants</w:t>
            </w:r>
          </w:p>
        </w:tc>
      </w:tr>
      <w:tr w:rsidR="009C151A" w14:paraId="7206DAB2" w14:textId="77777777" w:rsidTr="00140109">
        <w:tc>
          <w:tcPr>
            <w:tcW w:w="4530" w:type="dxa"/>
            <w:vAlign w:val="center"/>
          </w:tcPr>
          <w:p w14:paraId="6B99455C" w14:textId="77777777" w:rsidR="009C151A" w:rsidRDefault="009C151A" w:rsidP="00140109">
            <w:pPr>
              <w:widowControl w:val="0"/>
              <w:rPr>
                <w:sz w:val="28"/>
                <w:szCs w:val="28"/>
              </w:rPr>
            </w:pPr>
            <w:r>
              <w:rPr>
                <w:sz w:val="28"/>
                <w:szCs w:val="28"/>
              </w:rPr>
              <w:t>Glycérol</w:t>
            </w:r>
          </w:p>
        </w:tc>
      </w:tr>
      <w:tr w:rsidR="009C151A" w14:paraId="1844BE78" w14:textId="77777777" w:rsidTr="00140109">
        <w:tc>
          <w:tcPr>
            <w:tcW w:w="4530" w:type="dxa"/>
            <w:vAlign w:val="center"/>
          </w:tcPr>
          <w:p w14:paraId="0C00DDAC" w14:textId="77777777" w:rsidR="009C151A" w:rsidRDefault="009C151A" w:rsidP="00140109">
            <w:pPr>
              <w:widowControl w:val="0"/>
              <w:rPr>
                <w:sz w:val="28"/>
                <w:szCs w:val="28"/>
              </w:rPr>
            </w:pPr>
            <w:r>
              <w:rPr>
                <w:sz w:val="28"/>
                <w:szCs w:val="28"/>
              </w:rPr>
              <w:t>Paraffine liquide légère</w:t>
            </w:r>
          </w:p>
        </w:tc>
      </w:tr>
      <w:tr w:rsidR="009C151A" w14:paraId="12CA6C96" w14:textId="77777777" w:rsidTr="00140109">
        <w:tc>
          <w:tcPr>
            <w:tcW w:w="4530" w:type="dxa"/>
            <w:vAlign w:val="center"/>
          </w:tcPr>
          <w:p w14:paraId="204BB0CD" w14:textId="77777777" w:rsidR="009C151A" w:rsidRDefault="009C151A" w:rsidP="00140109">
            <w:pPr>
              <w:widowControl w:val="0"/>
              <w:rPr>
                <w:sz w:val="28"/>
                <w:szCs w:val="28"/>
              </w:rPr>
            </w:pPr>
            <w:r>
              <w:rPr>
                <w:sz w:val="28"/>
                <w:szCs w:val="28"/>
              </w:rPr>
              <w:t>Érucamide</w:t>
            </w:r>
          </w:p>
        </w:tc>
      </w:tr>
      <w:tr w:rsidR="009C151A" w14:paraId="76F5F964" w14:textId="77777777" w:rsidTr="00140109">
        <w:tc>
          <w:tcPr>
            <w:tcW w:w="4530" w:type="dxa"/>
            <w:vAlign w:val="center"/>
          </w:tcPr>
          <w:p w14:paraId="7AB46E3C" w14:textId="77777777" w:rsidR="009C151A" w:rsidRDefault="009C151A" w:rsidP="00140109">
            <w:pPr>
              <w:widowControl w:val="0"/>
              <w:rPr>
                <w:sz w:val="28"/>
                <w:szCs w:val="28"/>
              </w:rPr>
            </w:pPr>
            <w:r>
              <w:rPr>
                <w:sz w:val="28"/>
                <w:szCs w:val="28"/>
              </w:rPr>
              <w:t>Polypropylène</w:t>
            </w:r>
          </w:p>
        </w:tc>
      </w:tr>
    </w:tbl>
    <w:p w14:paraId="556D6C6F" w14:textId="77777777" w:rsidR="009C151A" w:rsidRDefault="009C151A" w:rsidP="009C151A">
      <w:pPr>
        <w:rPr>
          <w:sz w:val="28"/>
          <w:szCs w:val="28"/>
        </w:rPr>
      </w:pPr>
      <w:r>
        <w:rPr>
          <w:sz w:val="28"/>
          <w:szCs w:val="28"/>
        </w:rPr>
        <w:t>Mélange solide blanchâtre ou jaunâtre incorporé à un ruban rectangulaire doté de deux languettes et de deux lignes de pli marquées.</w:t>
      </w:r>
    </w:p>
    <w:p w14:paraId="61E5C8F2" w14:textId="77777777" w:rsidR="009C151A" w:rsidRDefault="009C151A" w:rsidP="009C151A">
      <w:pPr>
        <w:rPr>
          <w:sz w:val="28"/>
          <w:szCs w:val="28"/>
        </w:rPr>
      </w:pPr>
    </w:p>
    <w:p w14:paraId="475AD7F6" w14:textId="77777777" w:rsidR="009C151A" w:rsidRDefault="009C151A" w:rsidP="009C151A">
      <w:pPr>
        <w:rPr>
          <w:sz w:val="28"/>
          <w:szCs w:val="28"/>
        </w:rPr>
      </w:pPr>
      <w:r>
        <w:rPr>
          <w:b/>
          <w:bCs/>
          <w:sz w:val="28"/>
          <w:szCs w:val="28"/>
        </w:rPr>
        <w:t xml:space="preserve">3. INDICATIONS D’UTILISATION POUR CHAQUE ESPECE </w:t>
      </w:r>
      <w:proofErr w:type="gramStart"/>
      <w:r>
        <w:rPr>
          <w:b/>
          <w:bCs/>
          <w:sz w:val="28"/>
          <w:szCs w:val="28"/>
        </w:rPr>
        <w:t>CIBLE:</w:t>
      </w:r>
      <w:proofErr w:type="gramEnd"/>
    </w:p>
    <w:p w14:paraId="031BCF5D" w14:textId="77777777" w:rsidR="009C151A" w:rsidRDefault="009C151A" w:rsidP="009C151A">
      <w:pPr>
        <w:rPr>
          <w:sz w:val="28"/>
          <w:szCs w:val="28"/>
        </w:rPr>
      </w:pPr>
      <w:r>
        <w:rPr>
          <w:sz w:val="28"/>
          <w:szCs w:val="28"/>
        </w:rPr>
        <w:t xml:space="preserve">Traitement de la </w:t>
      </w:r>
      <w:proofErr w:type="spellStart"/>
      <w:r>
        <w:rPr>
          <w:sz w:val="28"/>
          <w:szCs w:val="28"/>
        </w:rPr>
        <w:t>varroose</w:t>
      </w:r>
      <w:proofErr w:type="spellEnd"/>
      <w:r>
        <w:rPr>
          <w:sz w:val="28"/>
          <w:szCs w:val="28"/>
        </w:rPr>
        <w:t xml:space="preserve"> (</w:t>
      </w:r>
      <w:r>
        <w:rPr>
          <w:i/>
          <w:iCs/>
          <w:sz w:val="28"/>
          <w:szCs w:val="28"/>
        </w:rPr>
        <w:t xml:space="preserve">Varroa </w:t>
      </w:r>
      <w:proofErr w:type="spellStart"/>
      <w:r>
        <w:rPr>
          <w:i/>
          <w:iCs/>
          <w:sz w:val="28"/>
          <w:szCs w:val="28"/>
        </w:rPr>
        <w:t>destructor</w:t>
      </w:r>
      <w:proofErr w:type="spellEnd"/>
      <w:r>
        <w:rPr>
          <w:sz w:val="28"/>
          <w:szCs w:val="28"/>
        </w:rPr>
        <w:t>) des abeilles mellifères (</w:t>
      </w:r>
      <w:r>
        <w:rPr>
          <w:i/>
          <w:iCs/>
          <w:sz w:val="28"/>
          <w:szCs w:val="28"/>
        </w:rPr>
        <w:t xml:space="preserve">Apis </w:t>
      </w:r>
      <w:proofErr w:type="spellStart"/>
      <w:r>
        <w:rPr>
          <w:i/>
          <w:iCs/>
          <w:sz w:val="28"/>
          <w:szCs w:val="28"/>
        </w:rPr>
        <w:t>mellifera</w:t>
      </w:r>
      <w:proofErr w:type="spellEnd"/>
      <w:r>
        <w:rPr>
          <w:sz w:val="28"/>
          <w:szCs w:val="28"/>
        </w:rPr>
        <w:t>).</w:t>
      </w:r>
    </w:p>
    <w:p w14:paraId="5CEED1D7" w14:textId="77777777" w:rsidR="009C151A" w:rsidRDefault="009C151A" w:rsidP="009C151A">
      <w:pPr>
        <w:rPr>
          <w:sz w:val="28"/>
          <w:szCs w:val="28"/>
        </w:rPr>
      </w:pPr>
    </w:p>
    <w:p w14:paraId="50F501A5" w14:textId="77777777" w:rsidR="009C151A" w:rsidRDefault="009C151A" w:rsidP="009C151A">
      <w:pPr>
        <w:rPr>
          <w:sz w:val="28"/>
          <w:szCs w:val="28"/>
        </w:rPr>
      </w:pPr>
    </w:p>
    <w:p w14:paraId="624CEDEE" w14:textId="77777777" w:rsidR="009C151A" w:rsidRDefault="009C151A" w:rsidP="009C151A">
      <w:pPr>
        <w:rPr>
          <w:sz w:val="28"/>
          <w:szCs w:val="28"/>
        </w:rPr>
      </w:pPr>
      <w:r>
        <w:rPr>
          <w:b/>
          <w:bCs/>
          <w:sz w:val="28"/>
          <w:szCs w:val="28"/>
        </w:rPr>
        <w:t>4. VOIE D’ADMINISTRATION ET POSOLOGIE</w:t>
      </w:r>
    </w:p>
    <w:p w14:paraId="3C50BF3E" w14:textId="77777777" w:rsidR="009C151A" w:rsidRDefault="009C151A" w:rsidP="009C151A">
      <w:pPr>
        <w:rPr>
          <w:sz w:val="28"/>
          <w:szCs w:val="28"/>
        </w:rPr>
      </w:pPr>
      <w:r>
        <w:rPr>
          <w:sz w:val="28"/>
          <w:szCs w:val="28"/>
        </w:rPr>
        <w:t>Traitement dans la ruche.</w:t>
      </w:r>
    </w:p>
    <w:p w14:paraId="00C58A10" w14:textId="77777777" w:rsidR="009C151A" w:rsidRDefault="009C151A" w:rsidP="009C151A">
      <w:pPr>
        <w:rPr>
          <w:sz w:val="28"/>
          <w:szCs w:val="28"/>
        </w:rPr>
      </w:pPr>
      <w:r>
        <w:rPr>
          <w:sz w:val="28"/>
          <w:szCs w:val="28"/>
        </w:rPr>
        <w:lastRenderedPageBreak/>
        <w:t>Utiliser deux rubans par ruche (c’est-à-dire 12,88 g d’acide oxalique par ruche), suspendre chaque ruban entre deux cadres de stockage des rayons de miel. Placer les rubans entre les cadres là où les abeilles présentent la meilleure mobilité. Suspendre les rubans de manière à laisser aux abeilles un libre accès de chaque côté, tout en respectant un espace minimum pour les abeilles.</w:t>
      </w:r>
    </w:p>
    <w:p w14:paraId="354E47CD" w14:textId="77777777" w:rsidR="009C151A" w:rsidRDefault="009C151A" w:rsidP="009C151A">
      <w:pPr>
        <w:rPr>
          <w:sz w:val="28"/>
          <w:szCs w:val="28"/>
        </w:rPr>
      </w:pPr>
      <w:r>
        <w:rPr>
          <w:sz w:val="28"/>
          <w:szCs w:val="28"/>
        </w:rPr>
        <w:t>Les bandes ont des lignes de pliage doubles, ce qui permet d'ajuster la longueur de la bande en fonction des caractéristiques de chaque type de ruche. Grâce aux lignes de pliage, les bandes peuvent être utilisées dans les ruches qui nécessitent des bandes longues (~30 cm) et également dans les ruches qui nécessitent des bandes courtes (~25 cm).</w:t>
      </w:r>
    </w:p>
    <w:p w14:paraId="172561F6" w14:textId="77777777" w:rsidR="009C151A" w:rsidRDefault="009C151A" w:rsidP="009C151A">
      <w:pPr>
        <w:rPr>
          <w:sz w:val="28"/>
          <w:szCs w:val="28"/>
        </w:rPr>
      </w:pPr>
      <w:r>
        <w:rPr>
          <w:sz w:val="28"/>
          <w:szCs w:val="28"/>
        </w:rPr>
        <w:t>Les rubans doivent être retirés au bout de 6 semaines.</w:t>
      </w:r>
    </w:p>
    <w:p w14:paraId="102BDB39" w14:textId="77777777" w:rsidR="009C151A" w:rsidRDefault="009C151A" w:rsidP="009C151A">
      <w:pPr>
        <w:rPr>
          <w:sz w:val="28"/>
          <w:szCs w:val="28"/>
        </w:rPr>
      </w:pPr>
      <w:r>
        <w:rPr>
          <w:sz w:val="28"/>
          <w:szCs w:val="28"/>
        </w:rPr>
        <w:t>Les rubans ne doivent pas être coupés</w:t>
      </w:r>
    </w:p>
    <w:p w14:paraId="7D85C20D" w14:textId="77777777" w:rsidR="009C151A" w:rsidRDefault="009C151A" w:rsidP="009C151A">
      <w:pPr>
        <w:rPr>
          <w:sz w:val="28"/>
          <w:szCs w:val="28"/>
        </w:rPr>
      </w:pPr>
      <w:r>
        <w:rPr>
          <w:b/>
          <w:bCs/>
          <w:sz w:val="28"/>
          <w:szCs w:val="28"/>
        </w:rPr>
        <w:t>5. NOM DU TITULAIRE DE L'AUTORISATION DE MISE SUR LE MARCHÉ</w:t>
      </w:r>
    </w:p>
    <w:p w14:paraId="0F7278F4" w14:textId="77777777" w:rsidR="009C151A" w:rsidRDefault="009C151A" w:rsidP="009C151A">
      <w:pPr>
        <w:rPr>
          <w:sz w:val="28"/>
          <w:szCs w:val="28"/>
        </w:rPr>
      </w:pPr>
      <w:r>
        <w:rPr>
          <w:sz w:val="28"/>
          <w:szCs w:val="28"/>
        </w:rPr>
        <w:t>LABORATORIOS CALIER S.A.</w:t>
      </w:r>
      <w:r>
        <w:rPr>
          <w:sz w:val="28"/>
          <w:szCs w:val="28"/>
        </w:rPr>
        <w:br/>
        <w:t>CALLE DE BARCELONES 26</w:t>
      </w:r>
      <w:r>
        <w:rPr>
          <w:sz w:val="28"/>
          <w:szCs w:val="28"/>
        </w:rPr>
        <w:br/>
        <w:t>POLIGONO INDUSTRIAL EL RAMASSA</w:t>
      </w:r>
      <w:r>
        <w:rPr>
          <w:sz w:val="28"/>
          <w:szCs w:val="28"/>
        </w:rPr>
        <w:br/>
        <w:t>08520 LES FRANQUESES DES VALLES</w:t>
      </w:r>
      <w:r>
        <w:rPr>
          <w:sz w:val="28"/>
          <w:szCs w:val="28"/>
        </w:rPr>
        <w:br/>
        <w:t>ESPAGNE</w:t>
      </w:r>
    </w:p>
    <w:p w14:paraId="3596ED0D" w14:textId="77777777" w:rsidR="009C151A" w:rsidRDefault="009C151A" w:rsidP="009C151A">
      <w:pPr>
        <w:rPr>
          <w:sz w:val="28"/>
          <w:szCs w:val="28"/>
        </w:rPr>
      </w:pPr>
      <w:r>
        <w:rPr>
          <w:sz w:val="28"/>
          <w:szCs w:val="28"/>
        </w:rPr>
        <w:t xml:space="preserve">Distributeur en </w:t>
      </w:r>
      <w:proofErr w:type="gramStart"/>
      <w:r>
        <w:rPr>
          <w:sz w:val="28"/>
          <w:szCs w:val="28"/>
        </w:rPr>
        <w:t>France:</w:t>
      </w:r>
      <w:proofErr w:type="gramEnd"/>
    </w:p>
    <w:p w14:paraId="7A10DF57" w14:textId="77777777" w:rsidR="009C151A" w:rsidRDefault="009C151A" w:rsidP="009C151A">
      <w:pPr>
        <w:rPr>
          <w:sz w:val="28"/>
          <w:szCs w:val="28"/>
        </w:rPr>
      </w:pPr>
      <w:r>
        <w:rPr>
          <w:sz w:val="28"/>
          <w:szCs w:val="28"/>
        </w:rPr>
        <w:t xml:space="preserve">Central Pharma </w:t>
      </w:r>
      <w:proofErr w:type="spellStart"/>
      <w:r>
        <w:rPr>
          <w:sz w:val="28"/>
          <w:szCs w:val="28"/>
        </w:rPr>
        <w:t>Logitics</w:t>
      </w:r>
      <w:proofErr w:type="spellEnd"/>
    </w:p>
    <w:p w14:paraId="745501B7" w14:textId="77777777" w:rsidR="009C151A" w:rsidRDefault="009C151A" w:rsidP="009C151A">
      <w:pPr>
        <w:rPr>
          <w:sz w:val="28"/>
          <w:szCs w:val="28"/>
        </w:rPr>
      </w:pPr>
      <w:proofErr w:type="gramStart"/>
      <w:r>
        <w:rPr>
          <w:sz w:val="28"/>
          <w:szCs w:val="28"/>
        </w:rPr>
        <w:t>Adresse:</w:t>
      </w:r>
      <w:proofErr w:type="gramEnd"/>
      <w:r>
        <w:rPr>
          <w:sz w:val="28"/>
          <w:szCs w:val="28"/>
        </w:rPr>
        <w:t xml:space="preserve">  260   </w:t>
      </w:r>
      <w:proofErr w:type="gramStart"/>
      <w:r>
        <w:rPr>
          <w:sz w:val="28"/>
          <w:szCs w:val="28"/>
        </w:rPr>
        <w:t>voie</w:t>
      </w:r>
      <w:proofErr w:type="gramEnd"/>
      <w:r>
        <w:rPr>
          <w:sz w:val="28"/>
          <w:szCs w:val="28"/>
        </w:rPr>
        <w:t xml:space="preserve"> ATLAS</w:t>
      </w:r>
    </w:p>
    <w:p w14:paraId="7C2FC615" w14:textId="77777777" w:rsidR="009C151A" w:rsidRDefault="009C151A" w:rsidP="009C151A">
      <w:pPr>
        <w:rPr>
          <w:sz w:val="28"/>
          <w:szCs w:val="28"/>
        </w:rPr>
      </w:pPr>
      <w:r>
        <w:rPr>
          <w:sz w:val="28"/>
          <w:szCs w:val="28"/>
        </w:rPr>
        <w:t xml:space="preserve">                 13600 LA CIOTAT</w:t>
      </w:r>
    </w:p>
    <w:p w14:paraId="4FCF1687" w14:textId="77777777" w:rsidR="009C151A" w:rsidRDefault="009C151A" w:rsidP="009C151A">
      <w:pPr>
        <w:rPr>
          <w:sz w:val="28"/>
          <w:szCs w:val="28"/>
        </w:rPr>
      </w:pPr>
      <w:r>
        <w:rPr>
          <w:sz w:val="28"/>
          <w:szCs w:val="28"/>
        </w:rPr>
        <w:t>Tel : 04 42 84 17 70</w:t>
      </w:r>
    </w:p>
    <w:p w14:paraId="56A01F78" w14:textId="77777777" w:rsidR="009C151A" w:rsidRDefault="009C151A" w:rsidP="009C151A">
      <w:pPr>
        <w:rPr>
          <w:sz w:val="28"/>
          <w:szCs w:val="28"/>
        </w:rPr>
      </w:pPr>
      <w:r>
        <w:rPr>
          <w:sz w:val="28"/>
          <w:szCs w:val="28"/>
        </w:rPr>
        <w:t>Mail : centralpharmalogitics@gmail.com</w:t>
      </w:r>
    </w:p>
    <w:p w14:paraId="57E4240C" w14:textId="77777777" w:rsidR="009C151A" w:rsidRDefault="009C151A" w:rsidP="009C151A">
      <w:pPr>
        <w:rPr>
          <w:sz w:val="28"/>
          <w:szCs w:val="28"/>
        </w:rPr>
      </w:pPr>
    </w:p>
    <w:p w14:paraId="6647B7F3" w14:textId="77777777" w:rsidR="009C151A" w:rsidRDefault="009C151A" w:rsidP="009C151A">
      <w:pPr>
        <w:rPr>
          <w:sz w:val="28"/>
          <w:szCs w:val="28"/>
        </w:rPr>
      </w:pPr>
      <w:r>
        <w:rPr>
          <w:b/>
          <w:bCs/>
          <w:sz w:val="28"/>
          <w:szCs w:val="28"/>
          <w:u w:val="single"/>
        </w:rPr>
        <w:t xml:space="preserve">6. </w:t>
      </w:r>
      <w:r>
        <w:rPr>
          <w:b/>
          <w:bCs/>
          <w:sz w:val="28"/>
          <w:szCs w:val="28"/>
        </w:rPr>
        <w:t>NUMÉRO(S) D'AUTORISATION DE MISE SUR LE MARCHÉ</w:t>
      </w:r>
    </w:p>
    <w:p w14:paraId="6868CC14" w14:textId="77777777" w:rsidR="009C151A" w:rsidRDefault="009C151A" w:rsidP="009C151A">
      <w:pPr>
        <w:rPr>
          <w:sz w:val="28"/>
          <w:szCs w:val="28"/>
        </w:rPr>
      </w:pPr>
      <w:r>
        <w:rPr>
          <w:sz w:val="28"/>
          <w:szCs w:val="28"/>
        </w:rPr>
        <w:t>FR/V/3764272 3/2024</w:t>
      </w:r>
    </w:p>
    <w:p w14:paraId="1769FD33" w14:textId="77777777" w:rsidR="009C151A" w:rsidRDefault="009C151A" w:rsidP="009C151A">
      <w:pPr>
        <w:rPr>
          <w:sz w:val="28"/>
          <w:szCs w:val="28"/>
        </w:rPr>
      </w:pPr>
      <w:r>
        <w:rPr>
          <w:sz w:val="28"/>
          <w:szCs w:val="28"/>
        </w:rPr>
        <w:t>Sachet contenant 2 rubans pour ruche</w:t>
      </w:r>
      <w:r>
        <w:rPr>
          <w:sz w:val="28"/>
          <w:szCs w:val="28"/>
        </w:rPr>
        <w:br/>
        <w:t>Sachet contenant 10 rubans pour ruche</w:t>
      </w:r>
      <w:r>
        <w:rPr>
          <w:sz w:val="28"/>
          <w:szCs w:val="28"/>
        </w:rPr>
        <w:br/>
      </w:r>
      <w:r>
        <w:rPr>
          <w:sz w:val="28"/>
          <w:szCs w:val="28"/>
        </w:rPr>
        <w:br/>
        <w:t>Toutes les présentations peuvent ne pas être commercialisées.</w:t>
      </w:r>
    </w:p>
    <w:p w14:paraId="58235083" w14:textId="77777777" w:rsidR="009C151A" w:rsidRDefault="009C151A" w:rsidP="009C151A">
      <w:pPr>
        <w:rPr>
          <w:sz w:val="28"/>
          <w:szCs w:val="28"/>
        </w:rPr>
      </w:pPr>
      <w:r>
        <w:rPr>
          <w:b/>
          <w:bCs/>
          <w:sz w:val="28"/>
          <w:szCs w:val="28"/>
        </w:rPr>
        <w:t>7. DATE DE PREMIÈRE AUTORISATION</w:t>
      </w:r>
      <w:r>
        <w:rPr>
          <w:sz w:val="28"/>
          <w:szCs w:val="28"/>
        </w:rPr>
        <w:br/>
        <w:t>22/11/2024</w:t>
      </w:r>
    </w:p>
    <w:p w14:paraId="29C1FA3B" w14:textId="77777777" w:rsidR="002E02BC" w:rsidRDefault="002E02BC"/>
    <w:sectPr w:rsidR="002E02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45A04"/>
    <w:multiLevelType w:val="hybridMultilevel"/>
    <w:tmpl w:val="5718CC08"/>
    <w:lvl w:ilvl="0" w:tplc="48C640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9498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51A"/>
    <w:rsid w:val="0006045D"/>
    <w:rsid w:val="002E02BC"/>
    <w:rsid w:val="008601CA"/>
    <w:rsid w:val="009C151A"/>
    <w:rsid w:val="00BE316B"/>
    <w:rsid w:val="00E20C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80CE9"/>
  <w15:chartTrackingRefBased/>
  <w15:docId w15:val="{C3B6B8F7-4966-41B8-B10F-CCC854765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51A"/>
    <w:pPr>
      <w:suppressAutoHyphens/>
    </w:pPr>
  </w:style>
  <w:style w:type="paragraph" w:styleId="Titre1">
    <w:name w:val="heading 1"/>
    <w:basedOn w:val="Normal"/>
    <w:next w:val="Normal"/>
    <w:link w:val="Titre1Car"/>
    <w:uiPriority w:val="9"/>
    <w:qFormat/>
    <w:rsid w:val="009C1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C1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C151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C151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C151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C151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C151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C151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C151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C151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C151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C151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C151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C151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C15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C15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C15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C151A"/>
    <w:rPr>
      <w:rFonts w:eastAsiaTheme="majorEastAsia" w:cstheme="majorBidi"/>
      <w:color w:val="272727" w:themeColor="text1" w:themeTint="D8"/>
    </w:rPr>
  </w:style>
  <w:style w:type="paragraph" w:styleId="Titre">
    <w:name w:val="Title"/>
    <w:basedOn w:val="Normal"/>
    <w:next w:val="Normal"/>
    <w:link w:val="TitreCar"/>
    <w:uiPriority w:val="10"/>
    <w:qFormat/>
    <w:rsid w:val="009C1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C15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C151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C15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C151A"/>
    <w:pPr>
      <w:spacing w:before="160"/>
      <w:jc w:val="center"/>
    </w:pPr>
    <w:rPr>
      <w:i/>
      <w:iCs/>
      <w:color w:val="404040" w:themeColor="text1" w:themeTint="BF"/>
    </w:rPr>
  </w:style>
  <w:style w:type="character" w:customStyle="1" w:styleId="CitationCar">
    <w:name w:val="Citation Car"/>
    <w:basedOn w:val="Policepardfaut"/>
    <w:link w:val="Citation"/>
    <w:uiPriority w:val="29"/>
    <w:rsid w:val="009C151A"/>
    <w:rPr>
      <w:i/>
      <w:iCs/>
      <w:color w:val="404040" w:themeColor="text1" w:themeTint="BF"/>
    </w:rPr>
  </w:style>
  <w:style w:type="paragraph" w:styleId="Paragraphedeliste">
    <w:name w:val="List Paragraph"/>
    <w:basedOn w:val="Normal"/>
    <w:qFormat/>
    <w:rsid w:val="009C151A"/>
    <w:pPr>
      <w:ind w:left="720"/>
      <w:contextualSpacing/>
    </w:pPr>
  </w:style>
  <w:style w:type="character" w:styleId="Accentuationintense">
    <w:name w:val="Intense Emphasis"/>
    <w:basedOn w:val="Policepardfaut"/>
    <w:uiPriority w:val="21"/>
    <w:qFormat/>
    <w:rsid w:val="009C151A"/>
    <w:rPr>
      <w:i/>
      <w:iCs/>
      <w:color w:val="0F4761" w:themeColor="accent1" w:themeShade="BF"/>
    </w:rPr>
  </w:style>
  <w:style w:type="paragraph" w:styleId="Citationintense">
    <w:name w:val="Intense Quote"/>
    <w:basedOn w:val="Normal"/>
    <w:next w:val="Normal"/>
    <w:link w:val="CitationintenseCar"/>
    <w:uiPriority w:val="30"/>
    <w:qFormat/>
    <w:rsid w:val="009C1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C151A"/>
    <w:rPr>
      <w:i/>
      <w:iCs/>
      <w:color w:val="0F4761" w:themeColor="accent1" w:themeShade="BF"/>
    </w:rPr>
  </w:style>
  <w:style w:type="character" w:styleId="Rfrenceintense">
    <w:name w:val="Intense Reference"/>
    <w:basedOn w:val="Policepardfaut"/>
    <w:uiPriority w:val="32"/>
    <w:qFormat/>
    <w:rsid w:val="009C15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328</Words>
  <Characters>1807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Monier</dc:creator>
  <cp:keywords/>
  <dc:description/>
  <cp:lastModifiedBy>Dominique Monier</cp:lastModifiedBy>
  <cp:revision>1</cp:revision>
  <dcterms:created xsi:type="dcterms:W3CDTF">2026-01-16T13:11:00Z</dcterms:created>
  <dcterms:modified xsi:type="dcterms:W3CDTF">2026-01-16T13:14:00Z</dcterms:modified>
</cp:coreProperties>
</file>